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00" w:right="720" w:hanging="2484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2"/>
          <w:szCs w:val="52"/>
          <w:b w:val="1"/>
          <w:bCs w:val="1"/>
          <w:color w:val="548DD4"/>
        </w:rPr>
        <w:drawing>
          <wp:anchor simplePos="0" relativeHeight="251657728" behindDoc="1" locked="0" layoutInCell="0" allowOverlap="1">
            <wp:simplePos x="0" y="0"/>
            <wp:positionH relativeFrom="page">
              <wp:posOffset>2950210</wp:posOffset>
            </wp:positionH>
            <wp:positionV relativeFrom="page">
              <wp:posOffset>179705</wp:posOffset>
            </wp:positionV>
            <wp:extent cx="1372870" cy="603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Guide d’analyse et de présentation des cas en Groupe de Pairs®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1. LE PATIENT</w:t>
      </w: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Genre</w:t>
            </w:r>
          </w:p>
        </w:tc>
        <w:tc>
          <w:tcPr>
            <w:tcW w:w="250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MasculinFéminin</w:t>
            </w: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ind w:left="26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Age :</w:t>
            </w:r>
          </w:p>
        </w:tc>
        <w:tc>
          <w:tcPr>
            <w:tcW w:w="6380" w:type="dxa"/>
            <w:vAlign w:val="bottom"/>
            <w:tcBorders>
              <w:top w:val="single" w:sz="8" w:color="auto"/>
            </w:tcBorders>
          </w:tcPr>
          <w:p>
            <w:pPr>
              <w:ind w:left="126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Profession :</w:t>
            </w:r>
          </w:p>
        </w:tc>
      </w:tr>
      <w:tr>
        <w:trPr>
          <w:trHeight w:val="276"/>
        </w:trPr>
        <w:tc>
          <w:tcPr>
            <w:tcW w:w="33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Vous êtes le médecin traitant</w:t>
            </w:r>
          </w:p>
        </w:tc>
        <w:tc>
          <w:tcPr>
            <w:tcW w:w="1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Oui</w:t>
            </w:r>
          </w:p>
        </w:tc>
        <w:tc>
          <w:tcPr>
            <w:tcW w:w="63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Non</w:t>
            </w:r>
          </w:p>
        </w:tc>
      </w:tr>
    </w:tbl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447040</wp:posOffset>
            </wp:positionH>
            <wp:positionV relativeFrom="paragraph">
              <wp:posOffset>-314325</wp:posOffset>
            </wp:positionV>
            <wp:extent cx="126365" cy="1263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1245235</wp:posOffset>
            </wp:positionH>
            <wp:positionV relativeFrom="paragraph">
              <wp:posOffset>-314325</wp:posOffset>
            </wp:positionV>
            <wp:extent cx="126365" cy="126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-139065</wp:posOffset>
            </wp:positionV>
            <wp:extent cx="126365" cy="1263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2774315</wp:posOffset>
            </wp:positionH>
            <wp:positionV relativeFrom="paragraph">
              <wp:posOffset>-139065</wp:posOffset>
            </wp:positionV>
            <wp:extent cx="126365" cy="1263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Particularités importantes pour la prise de décision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(sociales, familiales, professionnelles, psychologiques, etc.)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2. LE CADRE DE LA RENCONTRE</w:t>
      </w:r>
    </w:p>
    <w:p>
      <w:pPr>
        <w:spacing w:after="0" w:line="25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68770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.7pt" to="541.4pt,1.7pt" o:allowincell="f" strokecolor="#000000" strokeweight="0.4799pt"/>
            </w:pict>
          </mc:Fallback>
        </mc:AlternateContent>
      </w: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Consultation</w:t>
            </w:r>
          </w:p>
        </w:tc>
        <w:tc>
          <w:tcPr>
            <w:tcW w:w="29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Visite à domicile</w:t>
            </w:r>
          </w:p>
        </w:tc>
        <w:tc>
          <w:tcPr>
            <w:tcW w:w="2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Visite en institution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Autre :</w:t>
            </w:r>
          </w:p>
        </w:tc>
      </w:tr>
      <w:tr>
        <w:trPr>
          <w:trHeight w:val="27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Patient vu seul</w:t>
            </w:r>
          </w:p>
        </w:tc>
        <w:tc>
          <w:tcPr>
            <w:tcW w:w="29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Patient accompagné par :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-314325</wp:posOffset>
            </wp:positionV>
            <wp:extent cx="126365" cy="1263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1374775</wp:posOffset>
            </wp:positionH>
            <wp:positionV relativeFrom="paragraph">
              <wp:posOffset>-314325</wp:posOffset>
            </wp:positionV>
            <wp:extent cx="126365" cy="1263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3173730</wp:posOffset>
            </wp:positionH>
            <wp:positionV relativeFrom="paragraph">
              <wp:posOffset>-314325</wp:posOffset>
            </wp:positionV>
            <wp:extent cx="126365" cy="1263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4972050</wp:posOffset>
            </wp:positionH>
            <wp:positionV relativeFrom="paragraph">
              <wp:posOffset>-314325</wp:posOffset>
            </wp:positionV>
            <wp:extent cx="126365" cy="1263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-139065</wp:posOffset>
            </wp:positionV>
            <wp:extent cx="126365" cy="1263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1374775</wp:posOffset>
            </wp:positionH>
            <wp:positionV relativeFrom="paragraph">
              <wp:posOffset>-139065</wp:posOffset>
            </wp:positionV>
            <wp:extent cx="126365" cy="1263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3. LA DEMARCHE DIAGNOSTIQUE</w:t>
      </w:r>
    </w:p>
    <w:p>
      <w:pPr>
        <w:spacing w:after="0" w:line="31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68770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.7pt" to="541.4pt,1.7pt" o:allowincell="f" strokecolor="#000000" strokeweight="0.4799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Motif(s) de consultation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(Les mots du patient. Qui est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à l’origine de la consultation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? Quelles sont les attentes du patient ?)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Antécédents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pathologies en cours, et facteurs de risque utiles à la prise de décision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Données cliniques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(anamnèse et examen clinique)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paracliniques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utiles à la prise de décision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Relation médecin-patient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(éléments ayant influé sur la démarche diagnostique)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Résultats de consultation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(diagnostics)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retenus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4. LES DECISIONS PRISES</w:t>
      </w:r>
    </w:p>
    <w:p>
      <w:pPr>
        <w:spacing w:after="0" w:line="30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68770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.7pt" to="541.4pt,1.7pt" o:allowincell="f" strokecolor="#000000" strokeweight="0.4799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Nature des décisions : </w:t>
      </w: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(ordonnance, recours spécialisé, hospitalisation, arrêt de travail, soins paramédicaux, procédure administrative etc.)</w:t>
      </w:r>
    </w:p>
    <w:p>
      <w:pPr>
        <w:sectPr>
          <w:pgSz w:w="11900" w:h="16838" w:orient="portrait"/>
          <w:cols w:equalWidth="0" w:num="1">
            <w:col w:w="10820"/>
          </w:cols>
          <w:pgMar w:left="540" w:top="1347" w:right="5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5. LA REFLEXION A DISTANCE DE L’ACTION</w:t>
      </w:r>
    </w:p>
    <w:p>
      <w:pPr>
        <w:spacing w:after="0" w:line="3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21590</wp:posOffset>
                </wp:positionV>
                <wp:extent cx="687705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.7pt" to="540.4pt,1.7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Références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bibliographiques ayant aidé à la prise de décision,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en situation de soin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Références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bibliographiques ayant été consultées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pour l’analyse a posteriori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Informations retenues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extraites de ces publications 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Les décisions prises étaient-elles conformes aux données de la littérature ? </w:t>
      </w:r>
      <w:r>
        <w:rPr>
          <w:sz w:val="20"/>
          <w:szCs w:val="20"/>
          <w:color w:val="auto"/>
        </w:rPr>
        <w:drawing>
          <wp:inline distT="0" distB="0" distL="0" distR="0">
            <wp:extent cx="126365" cy="1263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Oui </w:t>
      </w:r>
      <w:r>
        <w:rPr>
          <w:sz w:val="20"/>
          <w:szCs w:val="20"/>
          <w:color w:val="auto"/>
        </w:rPr>
        <w:drawing>
          <wp:inline distT="0" distB="0" distL="0" distR="0">
            <wp:extent cx="127000" cy="1263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" cy="1263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Non Si non, quels ont été les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autres facteurs décisionnels ?</w:t>
      </w:r>
    </w:p>
    <w:p>
      <w:pPr>
        <w:spacing w:after="0" w:line="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4589145</wp:posOffset>
            </wp:positionH>
            <wp:positionV relativeFrom="paragraph">
              <wp:posOffset>-196215</wp:posOffset>
            </wp:positionV>
            <wp:extent cx="126365" cy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5088890</wp:posOffset>
            </wp:positionH>
            <wp:positionV relativeFrom="paragraph">
              <wp:posOffset>-196215</wp:posOffset>
            </wp:positionV>
            <wp:extent cx="127000" cy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360" w:hanging="354"/>
        <w:spacing w:after="0"/>
        <w:tabs>
          <w:tab w:leader="none" w:pos="360" w:val="left"/>
        </w:tabs>
        <w:numPr>
          <w:ilvl w:val="0"/>
          <w:numId w:val="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Besoins, attentes, représentations et préférences du patient</w:t>
      </w:r>
    </w:p>
    <w:p>
      <w:pPr>
        <w:jc w:val="both"/>
        <w:ind w:left="360" w:hanging="354"/>
        <w:spacing w:after="0"/>
        <w:tabs>
          <w:tab w:leader="none" w:pos="360" w:val="left"/>
        </w:tabs>
        <w:numPr>
          <w:ilvl w:val="0"/>
          <w:numId w:val="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Représentations, attentes et préférences du médecin,</w:t>
      </w:r>
    </w:p>
    <w:p>
      <w:pPr>
        <w:jc w:val="both"/>
        <w:ind w:left="360" w:hanging="354"/>
        <w:spacing w:after="0" w:line="239" w:lineRule="auto"/>
        <w:tabs>
          <w:tab w:leader="none" w:pos="360" w:val="left"/>
        </w:tabs>
        <w:numPr>
          <w:ilvl w:val="0"/>
          <w:numId w:val="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Offre locale de soin</w:t>
      </w:r>
    </w:p>
    <w:p>
      <w:pPr>
        <w:jc w:val="both"/>
        <w:ind w:left="360" w:hanging="354"/>
        <w:spacing w:after="0" w:line="237" w:lineRule="auto"/>
        <w:tabs>
          <w:tab w:leader="none" w:pos="360" w:val="left"/>
        </w:tabs>
        <w:numPr>
          <w:ilvl w:val="0"/>
          <w:numId w:val="1"/>
        </w:numPr>
        <w:rPr>
          <w:rFonts w:ascii="Symbol" w:cs="Symbol" w:eastAsia="Symbol" w:hAnsi="Symbo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Difficultés pendant la consultation, relation médecin-patient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6. LES PROBLEMES SOULEVES</w:t>
      </w:r>
    </w:p>
    <w:p>
      <w:pPr>
        <w:spacing w:after="0" w:line="3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21590</wp:posOffset>
                </wp:positionV>
                <wp:extent cx="68770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.7pt" to="540.4pt,1.7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Par le médecin 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Par le groupe 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4F81BD"/>
        </w:rPr>
        <w:t>7. LES POINTS A ECLAIRCIR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21590</wp:posOffset>
                </wp:positionV>
                <wp:extent cx="687705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.7pt" to="540.4pt,1.7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© Société Française de Médecine Générale - 2015</w:t>
      </w:r>
    </w:p>
    <w:sectPr>
      <w:pgSz w:w="11900" w:h="16838" w:orient="portrait"/>
      <w:cols w:equalWidth="0" w:num="1">
        <w:col w:w="8720"/>
      </w:cols>
      <w:pgMar w:left="560" w:top="551" w:right="2620" w:bottom="46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2016-12-13T18:24:01Z</dcterms:created>
  <dcterms:modified xsi:type="dcterms:W3CDTF">2016-12-13T18:24:01Z</dcterms:modified>
</cp:coreProperties>
</file>